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74DA" w:rsidRDefault="001174DA" w:rsidP="001174DA">
      <w:pPr>
        <w:pStyle w:val="ConsPlusNormal"/>
        <w:rPr>
          <w:rFonts w:ascii="Times New Roman" w:hAnsi="Times New Roman" w:cs="Times New Roman"/>
          <w:sz w:val="28"/>
          <w:szCs w:val="28"/>
          <w:lang w:eastAsia="en-US"/>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Pr>
          <w:rFonts w:ascii="Times New Roman" w:hAnsi="Times New Roman" w:cs="Times New Roman"/>
          <w:sz w:val="28"/>
          <w:szCs w:val="28"/>
          <w:lang w:eastAsia="en-US"/>
        </w:rPr>
        <w:t>УТВЕРЖДЕН</w:t>
      </w:r>
    </w:p>
    <w:p w:rsidR="001174DA" w:rsidRDefault="001174DA" w:rsidP="001174DA">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ab/>
      </w:r>
      <w:r>
        <w:rPr>
          <w:rFonts w:ascii="Times New Roman" w:hAnsi="Times New Roman" w:cs="Times New Roman"/>
          <w:sz w:val="28"/>
          <w:szCs w:val="28"/>
          <w:lang w:eastAsia="en-US"/>
        </w:rPr>
        <w:tab/>
      </w:r>
      <w:r>
        <w:rPr>
          <w:rFonts w:ascii="Times New Roman" w:hAnsi="Times New Roman" w:cs="Times New Roman"/>
          <w:sz w:val="28"/>
          <w:szCs w:val="28"/>
          <w:lang w:eastAsia="en-US"/>
        </w:rPr>
        <w:tab/>
      </w:r>
      <w:r>
        <w:rPr>
          <w:rFonts w:ascii="Times New Roman" w:hAnsi="Times New Roman" w:cs="Times New Roman"/>
          <w:sz w:val="28"/>
          <w:szCs w:val="28"/>
          <w:lang w:eastAsia="en-US"/>
        </w:rPr>
        <w:tab/>
      </w:r>
      <w:r>
        <w:rPr>
          <w:rFonts w:ascii="Times New Roman" w:hAnsi="Times New Roman" w:cs="Times New Roman"/>
          <w:sz w:val="28"/>
          <w:szCs w:val="28"/>
          <w:lang w:eastAsia="en-US"/>
        </w:rPr>
        <w:tab/>
      </w:r>
      <w:r>
        <w:rPr>
          <w:rFonts w:ascii="Times New Roman" w:hAnsi="Times New Roman" w:cs="Times New Roman"/>
          <w:sz w:val="28"/>
          <w:szCs w:val="28"/>
          <w:lang w:eastAsia="en-US"/>
        </w:rPr>
        <w:tab/>
      </w:r>
      <w:r>
        <w:rPr>
          <w:rFonts w:ascii="Times New Roman" w:hAnsi="Times New Roman" w:cs="Times New Roman"/>
          <w:sz w:val="28"/>
          <w:szCs w:val="28"/>
          <w:lang w:eastAsia="en-US"/>
        </w:rPr>
        <w:tab/>
        <w:t xml:space="preserve">       постановлением администрации</w:t>
      </w:r>
    </w:p>
    <w:p w:rsidR="001174DA" w:rsidRDefault="001174DA" w:rsidP="001174DA">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ab/>
      </w:r>
      <w:r>
        <w:rPr>
          <w:rFonts w:ascii="Times New Roman" w:hAnsi="Times New Roman" w:cs="Times New Roman"/>
          <w:sz w:val="28"/>
          <w:szCs w:val="28"/>
          <w:lang w:eastAsia="en-US"/>
        </w:rPr>
        <w:tab/>
      </w:r>
      <w:r>
        <w:rPr>
          <w:rFonts w:ascii="Times New Roman" w:hAnsi="Times New Roman" w:cs="Times New Roman"/>
          <w:sz w:val="28"/>
          <w:szCs w:val="28"/>
          <w:lang w:eastAsia="en-US"/>
        </w:rPr>
        <w:tab/>
      </w:r>
      <w:r>
        <w:rPr>
          <w:rFonts w:ascii="Times New Roman" w:hAnsi="Times New Roman" w:cs="Times New Roman"/>
          <w:sz w:val="28"/>
          <w:szCs w:val="28"/>
          <w:lang w:eastAsia="en-US"/>
        </w:rPr>
        <w:tab/>
      </w:r>
      <w:r>
        <w:rPr>
          <w:rFonts w:ascii="Times New Roman" w:hAnsi="Times New Roman" w:cs="Times New Roman"/>
          <w:sz w:val="28"/>
          <w:szCs w:val="28"/>
          <w:lang w:eastAsia="en-US"/>
        </w:rPr>
        <w:tab/>
      </w:r>
      <w:r>
        <w:rPr>
          <w:rFonts w:ascii="Times New Roman" w:hAnsi="Times New Roman" w:cs="Times New Roman"/>
          <w:sz w:val="28"/>
          <w:szCs w:val="28"/>
          <w:lang w:eastAsia="en-US"/>
        </w:rPr>
        <w:tab/>
      </w:r>
      <w:r>
        <w:rPr>
          <w:rFonts w:ascii="Times New Roman" w:hAnsi="Times New Roman" w:cs="Times New Roman"/>
          <w:sz w:val="28"/>
          <w:szCs w:val="28"/>
          <w:lang w:eastAsia="en-US"/>
        </w:rPr>
        <w:tab/>
        <w:t xml:space="preserve">       Советского сельского поселения </w:t>
      </w:r>
    </w:p>
    <w:p w:rsidR="001174DA" w:rsidRDefault="001174DA" w:rsidP="001174DA">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ab/>
      </w:r>
      <w:r>
        <w:rPr>
          <w:rFonts w:ascii="Times New Roman" w:hAnsi="Times New Roman" w:cs="Times New Roman"/>
          <w:sz w:val="28"/>
          <w:szCs w:val="28"/>
          <w:lang w:eastAsia="en-US"/>
        </w:rPr>
        <w:tab/>
      </w:r>
      <w:r>
        <w:rPr>
          <w:rFonts w:ascii="Times New Roman" w:hAnsi="Times New Roman" w:cs="Times New Roman"/>
          <w:sz w:val="28"/>
          <w:szCs w:val="28"/>
          <w:lang w:eastAsia="en-US"/>
        </w:rPr>
        <w:tab/>
      </w:r>
      <w:r>
        <w:rPr>
          <w:rFonts w:ascii="Times New Roman" w:hAnsi="Times New Roman" w:cs="Times New Roman"/>
          <w:sz w:val="28"/>
          <w:szCs w:val="28"/>
          <w:lang w:eastAsia="en-US"/>
        </w:rPr>
        <w:tab/>
      </w:r>
      <w:r>
        <w:rPr>
          <w:rFonts w:ascii="Times New Roman" w:hAnsi="Times New Roman" w:cs="Times New Roman"/>
          <w:sz w:val="28"/>
          <w:szCs w:val="28"/>
          <w:lang w:eastAsia="en-US"/>
        </w:rPr>
        <w:tab/>
      </w:r>
      <w:r>
        <w:rPr>
          <w:rFonts w:ascii="Times New Roman" w:hAnsi="Times New Roman" w:cs="Times New Roman"/>
          <w:sz w:val="28"/>
          <w:szCs w:val="28"/>
          <w:lang w:eastAsia="en-US"/>
        </w:rPr>
        <w:tab/>
      </w:r>
      <w:r>
        <w:rPr>
          <w:rFonts w:ascii="Times New Roman" w:hAnsi="Times New Roman" w:cs="Times New Roman"/>
          <w:sz w:val="28"/>
          <w:szCs w:val="28"/>
          <w:lang w:eastAsia="en-US"/>
        </w:rPr>
        <w:tab/>
        <w:t xml:space="preserve">       Новокубанский район</w:t>
      </w:r>
    </w:p>
    <w:p w:rsidR="001174DA" w:rsidRPr="001174DA" w:rsidRDefault="001174DA" w:rsidP="001174DA">
      <w:pPr>
        <w:pStyle w:val="ConsPlusTitle"/>
        <w:ind w:right="-284"/>
        <w:rPr>
          <w:rFonts w:ascii="Times New Roman" w:hAnsi="Times New Roman" w:cs="Times New Roman"/>
          <w:b w:val="0"/>
          <w:sz w:val="28"/>
          <w:szCs w:val="28"/>
        </w:rPr>
      </w:pPr>
      <w:r>
        <w:rPr>
          <w:rFonts w:ascii="Times New Roman" w:hAnsi="Times New Roman" w:cs="Times New Roman"/>
          <w:b w:val="0"/>
          <w:sz w:val="28"/>
          <w:szCs w:val="28"/>
          <w:lang w:eastAsia="en-US"/>
        </w:rPr>
        <w:tab/>
      </w:r>
      <w:r>
        <w:rPr>
          <w:rFonts w:ascii="Times New Roman" w:hAnsi="Times New Roman" w:cs="Times New Roman"/>
          <w:b w:val="0"/>
          <w:sz w:val="28"/>
          <w:szCs w:val="28"/>
          <w:lang w:eastAsia="en-US"/>
        </w:rPr>
        <w:tab/>
      </w:r>
      <w:r>
        <w:rPr>
          <w:rFonts w:ascii="Times New Roman" w:hAnsi="Times New Roman" w:cs="Times New Roman"/>
          <w:b w:val="0"/>
          <w:sz w:val="28"/>
          <w:szCs w:val="28"/>
          <w:lang w:eastAsia="en-US"/>
        </w:rPr>
        <w:tab/>
      </w:r>
      <w:r>
        <w:rPr>
          <w:rFonts w:ascii="Times New Roman" w:hAnsi="Times New Roman" w:cs="Times New Roman"/>
          <w:b w:val="0"/>
          <w:sz w:val="28"/>
          <w:szCs w:val="28"/>
          <w:lang w:eastAsia="en-US"/>
        </w:rPr>
        <w:tab/>
      </w:r>
      <w:r>
        <w:rPr>
          <w:rFonts w:ascii="Times New Roman" w:hAnsi="Times New Roman" w:cs="Times New Roman"/>
          <w:b w:val="0"/>
          <w:sz w:val="28"/>
          <w:szCs w:val="28"/>
          <w:lang w:eastAsia="en-US"/>
        </w:rPr>
        <w:tab/>
      </w:r>
      <w:r>
        <w:rPr>
          <w:rFonts w:ascii="Times New Roman" w:hAnsi="Times New Roman" w:cs="Times New Roman"/>
          <w:b w:val="0"/>
          <w:sz w:val="28"/>
          <w:szCs w:val="28"/>
          <w:lang w:eastAsia="en-US"/>
        </w:rPr>
        <w:tab/>
      </w:r>
      <w:r>
        <w:rPr>
          <w:rFonts w:ascii="Times New Roman" w:hAnsi="Times New Roman" w:cs="Times New Roman"/>
          <w:b w:val="0"/>
          <w:sz w:val="28"/>
          <w:szCs w:val="28"/>
          <w:lang w:eastAsia="en-US"/>
        </w:rPr>
        <w:tab/>
        <w:t xml:space="preserve">       </w:t>
      </w:r>
      <w:r w:rsidRPr="001174DA">
        <w:rPr>
          <w:rFonts w:ascii="Times New Roman" w:hAnsi="Times New Roman" w:cs="Times New Roman"/>
          <w:b w:val="0"/>
          <w:sz w:val="28"/>
          <w:szCs w:val="28"/>
          <w:lang w:eastAsia="en-US"/>
        </w:rPr>
        <w:t>от____________2019 года №____</w:t>
      </w:r>
    </w:p>
    <w:p w:rsidR="001174DA" w:rsidRPr="001174DA" w:rsidRDefault="001174DA" w:rsidP="001174DA">
      <w:pPr>
        <w:pStyle w:val="ConsPlusTitle"/>
        <w:ind w:right="-284"/>
        <w:rPr>
          <w:rFonts w:ascii="Times New Roman" w:hAnsi="Times New Roman" w:cs="Times New Roman"/>
          <w:b w:val="0"/>
          <w:sz w:val="28"/>
          <w:szCs w:val="28"/>
        </w:rPr>
      </w:pPr>
    </w:p>
    <w:p w:rsidR="001174DA" w:rsidRDefault="001174DA" w:rsidP="001174DA">
      <w:pPr>
        <w:pStyle w:val="ConsPlusTitle"/>
        <w:ind w:right="-284"/>
        <w:jc w:val="center"/>
        <w:rPr>
          <w:rFonts w:ascii="Times New Roman" w:hAnsi="Times New Roman" w:cs="Times New Roman"/>
          <w:sz w:val="28"/>
          <w:szCs w:val="28"/>
        </w:rPr>
      </w:pPr>
    </w:p>
    <w:p w:rsidR="001174DA" w:rsidRDefault="001174DA" w:rsidP="001174DA">
      <w:pPr>
        <w:pStyle w:val="ConsPlusTitle"/>
        <w:ind w:right="-284"/>
        <w:jc w:val="center"/>
        <w:rPr>
          <w:rFonts w:ascii="Times New Roman" w:hAnsi="Times New Roman" w:cs="Times New Roman"/>
          <w:sz w:val="28"/>
          <w:szCs w:val="28"/>
        </w:rPr>
      </w:pPr>
      <w:r>
        <w:rPr>
          <w:rFonts w:ascii="Times New Roman" w:hAnsi="Times New Roman" w:cs="Times New Roman"/>
          <w:sz w:val="28"/>
          <w:szCs w:val="28"/>
        </w:rPr>
        <w:t>ПОРЯДОК</w:t>
      </w:r>
    </w:p>
    <w:p w:rsidR="001174DA" w:rsidRDefault="001174DA" w:rsidP="001174DA">
      <w:pPr>
        <w:pStyle w:val="ConsPlusTitle"/>
        <w:ind w:right="-284"/>
        <w:jc w:val="center"/>
        <w:rPr>
          <w:rFonts w:ascii="Times New Roman" w:hAnsi="Times New Roman" w:cs="Times New Roman"/>
          <w:sz w:val="28"/>
          <w:szCs w:val="28"/>
        </w:rPr>
      </w:pPr>
      <w:r>
        <w:rPr>
          <w:rFonts w:ascii="Times New Roman" w:hAnsi="Times New Roman" w:cs="Times New Roman"/>
          <w:sz w:val="28"/>
          <w:szCs w:val="28"/>
        </w:rPr>
        <w:t>осуществления главными распорядителями (распорядителями) средств местного бюджета, главными администраторами (администраторами) доходов местного бюджета, главными администраторами (администраторами) источников финансирования дефицита местного бюджета внутреннего финансового контроля и внутреннего финансового аудита</w:t>
      </w:r>
    </w:p>
    <w:p w:rsidR="001174DA" w:rsidRDefault="001174DA" w:rsidP="001174DA">
      <w:pPr>
        <w:pStyle w:val="ConsPlusNormal"/>
        <w:ind w:right="-284"/>
        <w:jc w:val="both"/>
        <w:rPr>
          <w:rFonts w:ascii="Times New Roman" w:hAnsi="Times New Roman" w:cs="Times New Roman"/>
          <w:sz w:val="28"/>
          <w:szCs w:val="28"/>
        </w:rPr>
      </w:pPr>
    </w:p>
    <w:p w:rsidR="001174DA" w:rsidRDefault="001174DA" w:rsidP="001174DA">
      <w:pPr>
        <w:pStyle w:val="ConsPlusNormal"/>
        <w:ind w:right="-284"/>
        <w:jc w:val="center"/>
        <w:outlineLvl w:val="1"/>
        <w:rPr>
          <w:rFonts w:ascii="Times New Roman" w:hAnsi="Times New Roman" w:cs="Times New Roman"/>
          <w:sz w:val="28"/>
          <w:szCs w:val="28"/>
        </w:rPr>
      </w:pPr>
      <w:r>
        <w:rPr>
          <w:rFonts w:ascii="Times New Roman" w:hAnsi="Times New Roman" w:cs="Times New Roman"/>
          <w:sz w:val="28"/>
          <w:szCs w:val="28"/>
        </w:rPr>
        <w:t>1. Общие положения</w:t>
      </w:r>
    </w:p>
    <w:p w:rsidR="001174DA" w:rsidRDefault="001174DA" w:rsidP="001174DA">
      <w:pPr>
        <w:pStyle w:val="ConsPlusNormal"/>
        <w:ind w:right="-284"/>
        <w:jc w:val="both"/>
        <w:rPr>
          <w:rFonts w:ascii="Times New Roman" w:hAnsi="Times New Roman" w:cs="Times New Roman"/>
          <w:sz w:val="28"/>
          <w:szCs w:val="28"/>
        </w:rPr>
      </w:pP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1.1. Настоящий Порядок определяет правила осуществления главными распорядителями (распорядителями) средств местного бюджета, главными администраторами (администраторами) доходов местного бюджета, главными администраторами (администраторами) источников финансирования дефицита местного бюджета внутреннего финансового контроля и внутреннего финансового аудита.</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1.2.Указанный Порядок распространяется на следующих главных распорядителей (распорядителей)средств местного бюджета, главных администраторов (администраторов) доходов местного бюджета, главных администраторов (администраторов) источников финансирования дефицита местного бюджета, имеющих подведомственные учреждения:</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администрация Советского сельского поселения Новокубанский район;</w:t>
      </w:r>
    </w:p>
    <w:p w:rsidR="001174DA" w:rsidRDefault="001174DA" w:rsidP="001174DA">
      <w:pPr>
        <w:pStyle w:val="ConsPlusNormal"/>
        <w:ind w:right="-284" w:firstLine="851"/>
        <w:jc w:val="both"/>
        <w:rPr>
          <w:rFonts w:ascii="Times New Roman" w:hAnsi="Times New Roman" w:cs="Times New Roman"/>
          <w:sz w:val="28"/>
          <w:szCs w:val="28"/>
        </w:rPr>
      </w:pPr>
    </w:p>
    <w:p w:rsidR="001174DA" w:rsidRDefault="001174DA" w:rsidP="001174DA">
      <w:pPr>
        <w:pStyle w:val="ConsPlusNormal"/>
        <w:ind w:right="-284" w:firstLine="851"/>
        <w:jc w:val="center"/>
        <w:outlineLvl w:val="1"/>
        <w:rPr>
          <w:rFonts w:ascii="Times New Roman" w:hAnsi="Times New Roman" w:cs="Times New Roman"/>
          <w:sz w:val="28"/>
          <w:szCs w:val="28"/>
        </w:rPr>
      </w:pPr>
      <w:r>
        <w:rPr>
          <w:rFonts w:ascii="Times New Roman" w:hAnsi="Times New Roman" w:cs="Times New Roman"/>
          <w:sz w:val="28"/>
          <w:szCs w:val="28"/>
        </w:rPr>
        <w:t>2. Осуществление внутреннего финансового контроля</w:t>
      </w:r>
    </w:p>
    <w:p w:rsidR="001174DA" w:rsidRDefault="001174DA" w:rsidP="001174DA">
      <w:pPr>
        <w:pStyle w:val="ConsPlusNormal"/>
        <w:ind w:right="-284" w:firstLine="851"/>
        <w:jc w:val="center"/>
        <w:outlineLvl w:val="1"/>
        <w:rPr>
          <w:rFonts w:ascii="Times New Roman" w:hAnsi="Times New Roman" w:cs="Times New Roman"/>
          <w:sz w:val="28"/>
          <w:szCs w:val="28"/>
        </w:rPr>
      </w:pP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2.1. Внутренний финансовый контроль осуществляется руководителями (заместителями руководителей), иными должностными лицами главного администратора бюджетных средств, администратора бюджетных средств, организующими и выполняющими внутренние процедуры составления и исполнения бюджета, ведения бюджетного учета и составления бюджетной отчетности (далее - внутренние бюджетные процедуры). Внутренний финансовый контроль направлен:</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на соблюдение 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 внутренних стандартов и процедур составления и исполнения бюджета по расходам, включая расходы на закупку товаров, работ, услуг для обеспечения муниципальных нужд Советского сельского поселения Новокубанский район, составления </w:t>
      </w:r>
      <w:r>
        <w:rPr>
          <w:rFonts w:ascii="Times New Roman" w:hAnsi="Times New Roman" w:cs="Times New Roman"/>
          <w:sz w:val="28"/>
          <w:szCs w:val="28"/>
        </w:rPr>
        <w:lastRenderedPageBreak/>
        <w:t>бюджетной отчетности и ведения бюджетного учета  главным распорядителем средств местного бюджета и подведомственными ему распорядителями и получателями средств местного бюджета;</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на подготовку и организацию мер по повышению экономности и результативности использования средств местного бюджета;</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на соблюдение 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 внутренних стандартов и процедур составления и исполнения местного бюджета по доходам, составления бюджетной отчетности и ведения бюджетного учета этим главным администратором доходов местного бюджета и подведомственными администраторами доходов бюджета;</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на соблюдение 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 внутренних стандартов и процедур составления и исполнения местного бюджета по источникам финансирования дефицита местного бюджета, составления бюджетной отчетности и ведения бюджетного учета  главным администратором источников финансирования дефицита местного бюджета и подведомственными ему администраторами источников финансирования дефицита местного бюджета.</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2.2. Внутренний финансовый контроль осуществляется в структурных подразделениях главного администратора бюджетных средств, администратора бюджетных средств и получателя средств местного бюджета, исполняющих бюджетные полномочия.</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2.3. Должностные лица структурных подразделений главного администратора бюджетных средств, администратора бюджетных средств осуществляют внутренний финансовый контроль в соответствии с их должностными инструкциями в отношении следующих внутренних бюджетных процедур:</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составление и представление документов в администрацию Советского сельского поселения Новокубанского района, необходимых для составления и рассмотрения проекта местного бюджета, в том числе реестров расходных обязательств и обоснований бюджетных ассигнований;</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составление и представление главному администратору средств местного бюджета, администратору средств местного бюджета, необходимых для составления и рассмотрения проекта местного бюджета;</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составление и представление в администрацию Советского сельского поселения Новокубанский район документов, необходимых для составления и ведения кассового плана по доходам, расходам и источникам финансирования дефицита местного бюджета;</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составление, утверждение и ведение бюджетной росписи главного распорядителя (распорядителя) средств местного бюджета;</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составление и направление в администрацию Советского сельского поселения Новокубанского район документов, необходимых для формирования </w:t>
      </w:r>
      <w:r>
        <w:rPr>
          <w:rFonts w:ascii="Times New Roman" w:hAnsi="Times New Roman" w:cs="Times New Roman"/>
          <w:sz w:val="28"/>
          <w:szCs w:val="28"/>
        </w:rPr>
        <w:lastRenderedPageBreak/>
        <w:t>и ведения сводной бюджетной росписи местного бюджета, а также для доведения (распределения) бюджетных ассигнований и лимитов бюджетных обязательств до главных распорядителей средств местного бюджета;</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составление, утверждение, ведение бюджетных смет и (или) составление (утверждение)свода бюджетных смет;</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формирование и утверждение </w:t>
      </w:r>
      <w:r w:rsidRPr="001174DA">
        <w:rPr>
          <w:rFonts w:ascii="Times New Roman" w:hAnsi="Times New Roman" w:cs="Times New Roman"/>
          <w:sz w:val="28"/>
          <w:szCs w:val="28"/>
        </w:rPr>
        <w:t>муниципальных заданий</w:t>
      </w:r>
      <w:r>
        <w:rPr>
          <w:rFonts w:ascii="Times New Roman" w:hAnsi="Times New Roman" w:cs="Times New Roman"/>
          <w:sz w:val="28"/>
          <w:szCs w:val="28"/>
        </w:rPr>
        <w:t xml:space="preserve"> в отношении подведомственных муниципальных учреждений Советского сельского поселения Новокубанского  района;</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исполнение бюджетной сметы;</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принятие в пределах доведенных лимитов бюджетных обязательств и (или) бюджетных ассигнований бюджетных обязательств;</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осуществление начисления, учета и контроля за правильностью исчисления, полнотой и своевременностью осуществления платежей (поступления источников финансирования дефицита бюджета) в местный бюджет, пеней и штрафов по ним (за исключением операций, осуществляемых в соответствии с законодательством Российской Федерации о налогах и сборах, законодательством о таможенном регулировании в Российской Федерации);</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принятие решений о возврате излишне уплаченных (взысканных) платежей в местный бюджет, а также процентов за несвоевременное осуществление такого возврата и процентов, начисленных на излишне взысканные суммы (за исключением операций, осуществляемых в соответствии с законодательством Российской Федерации о налогах и сборах, законодательством о таможенном регулировании в Российской Федерации);</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принятие решений о зачете (об уточнении) платежей в местный бюджет (за исключением операций, осуществляемых в соответствии с законодательством Российской Федерации о налогах и сборах, законодательством о таможенном регулировании в Российской Федерации);</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процедура ведения бюджетного учета, в том числе принятие к учету первичных учетных документов (составление сводных учетных документов), отражение информации, указанной в первичных учетных документах и регистрах бюджетного учета, проведение оценки имущества и обязательств, а также инвентаризаций;</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составление и представление бюджетной отчетности, сводной бюджетной отчетности;</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исполнение судебных актов по искам к Советскому сельскому поселению Новокубанского района, а также судебных актов, предусматривающих обращение взыскания на средства местного бюджета по денежным обязательствам органов местного самоуправления Советского сельского поселения Новокубанский район и подведомственных им казенных учреждений;</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распределение лимитов бюджетных обязательств по подведомственным распорядителям и получателям средств местного бюджета;</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осуществление предусмотренных правовыми актами о предоставлении межбюджетных субсидий, субвенций и иных межбюджетных трансфертов, имеющих целевое назначение, а также иных субсидий действий, направленных </w:t>
      </w:r>
      <w:r>
        <w:rPr>
          <w:rFonts w:ascii="Times New Roman" w:hAnsi="Times New Roman" w:cs="Times New Roman"/>
          <w:sz w:val="28"/>
          <w:szCs w:val="28"/>
        </w:rPr>
        <w:lastRenderedPageBreak/>
        <w:t>на обеспечение соблюдения их получателями условий, целей и порядка их предоставления;</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осуществление предусмотренных правовыми актами о предоставлении (осуществлении) бюджетных инвестиций действий, направленных на обеспечение соблюдения их получателями условий, целей и порядка их предоставления;</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осуществление предусмотренных правовыми актами о выделении в распоряжение главного администратора (администратора) источников финансирования дефицита местного бюджета ассигнований, предназначенных для погашения источников финансирования дефицита местного бюджета, действий, направленных на обеспечение адресности и целевого характера использования указанных ассигнований.</w:t>
      </w:r>
    </w:p>
    <w:p w:rsidR="001174DA" w:rsidRDefault="001174DA" w:rsidP="001174DA">
      <w:pPr>
        <w:pStyle w:val="ConsPlusNormal"/>
        <w:ind w:right="-284" w:firstLine="851"/>
        <w:jc w:val="both"/>
        <w:rPr>
          <w:rFonts w:ascii="Times New Roman" w:hAnsi="Times New Roman" w:cs="Times New Roman"/>
          <w:sz w:val="28"/>
          <w:szCs w:val="28"/>
        </w:rPr>
      </w:pPr>
      <w:bookmarkStart w:id="0" w:name="P75"/>
      <w:bookmarkEnd w:id="0"/>
      <w:r>
        <w:rPr>
          <w:rFonts w:ascii="Times New Roman" w:hAnsi="Times New Roman" w:cs="Times New Roman"/>
          <w:sz w:val="28"/>
          <w:szCs w:val="28"/>
        </w:rPr>
        <w:t>2.4. При осуществлении внутреннего финансового контроля производятся следующие контрольные действия:</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проверка оформления документов на соответствие требованиям нормативных правовых актов Российской Федерации, Краснодарского края и Советского сельского поселения Новокубанский район, регулирующих бюджетные правоотношения, и внутренних стандартов и процедур;</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подтверждение (согласование) операций (действий по формированию документов, необходимых для выполнения внутренних бюджетных процедур);</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сверка данных;</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сбор (запрос),  анализ и оценка (мониторинг) информации о результатах выполнения внутренних бюджетных процедур.</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2.5. Формами проведения внутреннего финансового контроля являются контрольные действия, указанные в </w:t>
      </w:r>
      <w:hyperlink r:id="rId6" w:anchor="P75" w:history="1">
        <w:r w:rsidRPr="001174DA">
          <w:rPr>
            <w:rStyle w:val="a3"/>
            <w:rFonts w:ascii="Times New Roman" w:hAnsi="Times New Roman" w:cs="Times New Roman"/>
            <w:color w:val="auto"/>
            <w:sz w:val="28"/>
            <w:szCs w:val="28"/>
            <w:u w:val="none"/>
          </w:rPr>
          <w:t>пункте 2.</w:t>
        </w:r>
      </w:hyperlink>
      <w:r w:rsidRPr="001174DA">
        <w:rPr>
          <w:rFonts w:ascii="Times New Roman" w:hAnsi="Times New Roman" w:cs="Times New Roman"/>
          <w:sz w:val="28"/>
          <w:szCs w:val="28"/>
        </w:rPr>
        <w:t>4</w:t>
      </w:r>
      <w:r>
        <w:rPr>
          <w:rFonts w:ascii="Times New Roman" w:hAnsi="Times New Roman" w:cs="Times New Roman"/>
          <w:sz w:val="28"/>
          <w:szCs w:val="28"/>
        </w:rPr>
        <w:t xml:space="preserve"> настоящего Порядка (далее - контрольные действия), применяемые в ходе самоконтроля и (или) контроля по уровню подчиненности (подведомственности), смежного контроля  (далее - методы контроля).</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2.6. Контрольные действия подразделяются на визуальные, автоматические и смешанные.</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Визуальные контрольные действия осуществляются без использования прикладных программных средств автоматизации.</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Автоматические контрольные действия осуществляются с использованием прикладных программных средств автоматизации без участия должностных лиц.</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Смешанные контрольные действия выполняются с использованием прикладных программных средств автоматизации с участием должностных лиц.</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2.7. К способам проведения контрольных действий относятся:</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сплошной способ, при котором контрольные действия осуществляются в отношении каждой проведенной операции (действия по формированию документа, необходимого для выполнения внутренней бюджетной процедуры);</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выборочный способ, при котором контрольные действия осуществляются в отношении отдельной проведенной операции (действия по формированию документа, необходимого для выполнения внутренней </w:t>
      </w:r>
      <w:r>
        <w:rPr>
          <w:rFonts w:ascii="Times New Roman" w:hAnsi="Times New Roman" w:cs="Times New Roman"/>
          <w:sz w:val="28"/>
          <w:szCs w:val="28"/>
        </w:rPr>
        <w:lastRenderedPageBreak/>
        <w:t>бюджетной процедуры).</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2.8. Внутренний финансовый контроль осуществляется в соответствии с </w:t>
      </w:r>
      <w:r w:rsidRPr="001174DA">
        <w:rPr>
          <w:rFonts w:ascii="Times New Roman" w:hAnsi="Times New Roman" w:cs="Times New Roman"/>
          <w:sz w:val="28"/>
          <w:szCs w:val="28"/>
        </w:rPr>
        <w:t>утвержденной картой</w:t>
      </w:r>
      <w:r>
        <w:rPr>
          <w:rFonts w:ascii="Times New Roman" w:hAnsi="Times New Roman" w:cs="Times New Roman"/>
          <w:sz w:val="28"/>
          <w:szCs w:val="28"/>
          <w:u w:val="single"/>
        </w:rPr>
        <w:t xml:space="preserve"> </w:t>
      </w:r>
      <w:r>
        <w:rPr>
          <w:rFonts w:ascii="Times New Roman" w:hAnsi="Times New Roman" w:cs="Times New Roman"/>
          <w:sz w:val="28"/>
          <w:szCs w:val="28"/>
        </w:rPr>
        <w:t>внутреннего финансового контроля.</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Утверждение карт внутреннего финансового контроля осуществляется руководителем (заместителем руководителя) главного администратора бюджетных средств, администратора бюджетных средств.</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2.9. В карте внутреннего финансового контроля по каждому отражаемому в нем предмету внутреннего финансового контроля указываются данные о должностном лице, ответственном за выполнение операции (действия по формированию документа, необходимого для выполнения внутренней бюджетной процедуры), периодичности выполнения операции, должностных лицах, осуществляющих контрольные действия, методах контроля и периодичности, а также способах проведения контрольных действий.</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2.10. Процесс формирования (актуализации) карты внутреннего финансового контроля включает следующие этапы:</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анализ предмета внутреннего финансового контроля в целях определения применяемых к нему методов контроля и контрольных действий (далее - процедуры внутреннего финансового контроля);</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формирование перечня операций (действий по формированию документов, необходимых для выполнения внутренней бюджетной процедуры) с указанием необходимости или отсутствия необходимости проведения контрольных действий в отношении отдельных операций.</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2.11. Формирование (актуализация) карты внутреннего финансового контроля осуществляется руководителем каждого структурного подразделения, ответственного за результаты выполнения внутренних бюджетных процедур.</w:t>
      </w:r>
    </w:p>
    <w:p w:rsidR="001174DA" w:rsidRPr="001174DA" w:rsidRDefault="001174DA" w:rsidP="001174DA">
      <w:pPr>
        <w:pStyle w:val="ConsPlusNormal"/>
        <w:ind w:right="-284" w:firstLine="851"/>
        <w:jc w:val="both"/>
        <w:rPr>
          <w:rFonts w:ascii="Times New Roman" w:hAnsi="Times New Roman" w:cs="Times New Roman"/>
          <w:sz w:val="28"/>
          <w:szCs w:val="28"/>
        </w:rPr>
      </w:pPr>
      <w:r w:rsidRPr="001174DA">
        <w:rPr>
          <w:rFonts w:ascii="Times New Roman" w:hAnsi="Times New Roman" w:cs="Times New Roman"/>
          <w:sz w:val="28"/>
          <w:szCs w:val="28"/>
        </w:rPr>
        <w:t>2.12. Актуализация карт внутреннего финансового контроля проводится: до начала очередного финансового года;</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при принятии решения руководителем (заместителем руководителя) главного администратора бюджетных средств, администратора бюджетных средств о внесении изменений в карты внутреннего финансового контроля;</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в случае внесения изменений в нормативные правовые акты, регулирующие бюджетные правоотношения, определяющих необходимость изменения внутренних бюджетных процедур.</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2.13. Формирование, утверждение и актуализация карт внутреннего финансового контроля осуществляется в порядке, установленном главным администратором бюджетных средств.</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Актуализация (формирование) карт внутреннего финансового контроля проводится не реже одного раза в год.</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2.14. Ответственность за организацию внутреннего финансового контроля несет руководитель или заместитель руководителя главного администратора бюджетных средств, администратора бюджетных средств, курирующие структурные подразделения главного администратора бюджетных средств, администратора бюджетных средств, в соответствии с распределением обязанностей.</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2.15. Главный администратор бюджетных средств  обязан предоставлять </w:t>
      </w:r>
      <w:r>
        <w:rPr>
          <w:rFonts w:ascii="Times New Roman" w:hAnsi="Times New Roman" w:cs="Times New Roman"/>
          <w:sz w:val="28"/>
          <w:szCs w:val="28"/>
        </w:rPr>
        <w:lastRenderedPageBreak/>
        <w:t>в орган внутреннего финансового контроля администрации Советского сельского поселения Новокубанского района запрашиваемые им информацию и документы в целях проведения анализа осуществления внутреннего финансового контроля.</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2.16. Внутренний финансовый контроль в структурных подразделениях главного администратора бюджетных средств, администратора бюджетных средств осуществляется с соблюдением периодичности, методов контроля и способов контроля, указанных в картах внутреннего финансового контроля.</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2.17. Самоконтроль осуществляется сплошным способом субъектом внутреннего финансового контроля путем проведения проверки каждой выполняемой им операции на соответствие нормативным правовым актам Российской Федерации, Краснодарского края и Советского сельского поселения Новокубанского района, регулирующим бюджетные правоотношения, внутренним стандартам и процедурам должностным обязанностям, а также путем оценки причин и обстоятельств (факторов), негативно влияющих на совершение операции.</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2.18.  Контроль по уровню подчиненности осуществляется сплошным способом субъектом внутреннего финансового контроля путем подтверждения (согласования) операций (действий по формированию документов, необходимых для выполнения внутренних бюджетных процедур), осуществляемых подчиненными должностными лицами.</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2.19. Контроль по уровню подведомственности осуществляется в целях реализации бюджетных полномочий сплошным и (или) выборочным способом главным администратором бюджетных средств, администратором бюджетных средств в отношении процедур и операций, совершенных подведомственными распорядителями и получателями средств местного бюджета, администраторами доходов местного бюджета и администраторами источников финансирования дефицита местного бюджета, путем проведения проверок, направленных на установление соответствия представленных документов требованиям нормативных правовых актов Российской Федерации, Краснодарского края и муниципального образования Новокубанский район, регулирующих бюджетные правоотношения, и внутренним стандартам и процедурам, и путем сбора (запроса), анализа и оценки (мониторинга) главным администратором бюджетных средств, администратором бюджетных средств информации об организации и результатах выполнения внутренних бюджетных процедур подведомственными администраторами бюджетных средств и получателями средств местного бюджета.</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Результаты таких проверок оформляются заключением с указанием необходимости внесения исправлений и (или) устранения недостатков (нарушений) при их наличии в установленный в заключении срок либо разрешительной надписью на представленном документе.</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2.20. Смежный контроль осуществляется сплошным и (или) выборочным способом субъектом внутреннего финансового контроля путем согласования (подтверждения) операций (действий по формированию документов, необходимых для выполнения внутренних бюджетных процедур), </w:t>
      </w:r>
      <w:r>
        <w:rPr>
          <w:rFonts w:ascii="Times New Roman" w:hAnsi="Times New Roman" w:cs="Times New Roman"/>
          <w:sz w:val="28"/>
          <w:szCs w:val="28"/>
        </w:rPr>
        <w:lastRenderedPageBreak/>
        <w:t>осуществляемых должностными лицами других структурных подразделений главного администратора бюджетных средств, администратора бюджетных средств.</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2.21. Выявленные недостатки и (или) нарушения при исполнении внутренних бюджетных процедур, сведения о причинах рисков возникновения нарушений и (или) недостатков и о предлагаемых мерах по их устранению (далее - результаты внутреннего финансового контроля) отражаются в регистрах (журналах) внутреннего финансового контроля.</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Ведение регистров (журналов) внутреннего финансового контроля осуществляется в каждом структурном подразделении, ответственном за выполнение внутренних бюджетных процедур.</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2.22. Регистры (журналы) внутреннего финансового контроля подлежат учету и хранению в установленном главным администратором бюджетных средств, администратором бюджетных средств порядке, в том числе с применением автоматизированных информационных систем.</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Порядок ведения регистров (журналов) внутреннего финансового контроля, перечни должностных лиц, ответственных за их ведение, устанавливаются главными администраторами бюджетных средств, администраторами бюджетных средств.</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2.23. Информация о результатах внутреннего финансового контроля направляется структурным подразделением, ответственным за результаты выполнения внутренних бюджетных процедур, или уполномоченным структурным подразделением руководителю (заместителю руководителя) главного администратора бюджетных средств, администратора бюджетных средств с установленной руководителем главного администратора бюджетных средств, администратора бюджетных средств периодичностью.</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Порядок формирования и направления информации о результатах внутреннего финансового контроля на основе данных регистров (журналов) внутреннего финансового контроля устанавливается главным администратором бюджетных средств, администратором бюджетных средств.</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2.24. По итогам рассмотрения результатов внутреннего финансового контроля руководителем (заместителем руководителя) главного администратора бюджетных средств, администратора бюджетных средств принимаются решения с указанием сроков их выполнения, направленные:</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на обеспечение применения эффективных автоматических контрольных действий в отношении отдельных операций (действий по формированию документа, необходимого для выполнения внутренней бюджетной процедуры) и (или) устранение недостатков используемых прикладных программных средств автоматизации контрольных действий, а также на исключение неэффективных автоматических контрольных действий;</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на изменение карт внутреннего финансового контроля в целях увеличения способности процедур внутреннего финансового контроля снижать вероятность возникновения событий, негативно влияющих на выполнение внутренних бюджетных процедур (далее - бюджетные риски);</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на актуализацию системы формуляров, реестров и классификаторов как </w:t>
      </w:r>
      <w:r>
        <w:rPr>
          <w:rFonts w:ascii="Times New Roman" w:hAnsi="Times New Roman" w:cs="Times New Roman"/>
          <w:sz w:val="28"/>
          <w:szCs w:val="28"/>
        </w:rPr>
        <w:lastRenderedPageBreak/>
        <w:t>совокупности структурированных документов, позволяющих отразить унифицированные операции в процессе осуществления бюджетных полномочий главного администратора бюджетных средств, администратора бюджетных средств;</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на уточнение прав доступа пользователей к базам данных, вводу и выводу информации из автоматизированных информационных систем, обеспечивающих осуществление бюджетных полномочий, а также регламента взаимодействия пользователей с информационными ресурсами;</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на изменение внутренних стандартов и процедур;</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на уточнение прав по формированию финансовых и первичных учетных документов, а также прав доступа к записям в регистры бюджетного учета;</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на устранение конфликта интересов у должностных лиц, осуществляющих внутренние бюджетные процедуры;</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на проведение служебных проверок и применение материальной и (или) дисциплинарной ответственности к виновным должностным лицам;</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на ведение эффективной кадровой политики в отношении структурных подразделений главного администратора бюджетных средств, администратора бюджетных средств.</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2.25. При принятии решений по итогам рассмотрения результатов внутреннего финансового контроля учитывается информация, указанная в актах, заключениях, представлениях и предписаниях органов государственного финансового контроля и отчетах внутреннего финансового аудита, представленных руководителю (заместителю руководителя) главного администратора бюджетных средств, администратора бюджетных средств.</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2.26. Главный администратор бюджетных средств устанавливает порядок составления отчетности о результатах внутреннего финансового контроля на основе данных регистров (журналов) внутреннего финансового контроля.</w:t>
      </w:r>
    </w:p>
    <w:p w:rsidR="001174DA" w:rsidRDefault="001174DA" w:rsidP="001174DA">
      <w:pPr>
        <w:pStyle w:val="ConsPlusNormal"/>
        <w:ind w:right="-284" w:firstLine="851"/>
        <w:jc w:val="both"/>
        <w:rPr>
          <w:rFonts w:ascii="Times New Roman" w:hAnsi="Times New Roman" w:cs="Times New Roman"/>
          <w:sz w:val="28"/>
          <w:szCs w:val="28"/>
        </w:rPr>
      </w:pPr>
    </w:p>
    <w:p w:rsidR="001174DA" w:rsidRDefault="001174DA" w:rsidP="001174DA">
      <w:pPr>
        <w:pStyle w:val="ConsPlusNormal"/>
        <w:ind w:right="-284" w:firstLine="851"/>
        <w:jc w:val="center"/>
        <w:outlineLvl w:val="1"/>
        <w:rPr>
          <w:rFonts w:ascii="Times New Roman" w:hAnsi="Times New Roman" w:cs="Times New Roman"/>
          <w:sz w:val="28"/>
          <w:szCs w:val="28"/>
        </w:rPr>
      </w:pPr>
      <w:r>
        <w:rPr>
          <w:rFonts w:ascii="Times New Roman" w:hAnsi="Times New Roman" w:cs="Times New Roman"/>
          <w:sz w:val="28"/>
          <w:szCs w:val="28"/>
        </w:rPr>
        <w:t>3. Осуществление внутреннего финансового аудита</w:t>
      </w:r>
    </w:p>
    <w:p w:rsidR="001174DA" w:rsidRDefault="001174DA" w:rsidP="001174DA">
      <w:pPr>
        <w:pStyle w:val="ConsPlusNormal"/>
        <w:ind w:right="-284" w:firstLine="851"/>
        <w:jc w:val="both"/>
        <w:rPr>
          <w:rFonts w:ascii="Times New Roman" w:hAnsi="Times New Roman" w:cs="Times New Roman"/>
          <w:sz w:val="28"/>
          <w:szCs w:val="28"/>
        </w:rPr>
      </w:pP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3.1. Внутренний финансовый аудит осуществляется структурными подразделениями и (или) уполномоченными должностными лицами, работниками главного администратора бюджетных средств, администратора бюджетных средств (далее - субъект внутреннего финансового аудита), наделенными полномочиями по осуществлению внутреннего финансового аудита, на основе функциональной независимости.</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Деятельность субъекта внутреннего финансового аудита основывается на принципах законности, объективности, эффективности, независимости и профессиональной компетентности, а также системности, ответственности и стандартизации.</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3.2. Целями внутреннего финансового аудита являются:</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оценка надежности внутреннего финансового контроля и подготовка рекомендаций по повышению его эффективности;</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подтверждение достоверности бюджетной отчетности и соответствия </w:t>
      </w:r>
      <w:r>
        <w:rPr>
          <w:rFonts w:ascii="Times New Roman" w:hAnsi="Times New Roman" w:cs="Times New Roman"/>
          <w:sz w:val="28"/>
          <w:szCs w:val="28"/>
        </w:rPr>
        <w:lastRenderedPageBreak/>
        <w:t>порядка ведения бюджетного учета методологии и стандартам бюджетного учета, установленным Министерством финансов Российской Федерации;</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подготовка предложений о повышении экономности и результативности использования бюджетных средств.</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3.3. Объектами внутреннего финансового аудита являются структурные подразделения главного администратора бюджетных средств, администратора бюджетных средств, подведомственные им получатели бюджетных средств (далее - объекты аудита).</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3.4. Внутренний финансовый аудит осуществляется посредством проведения плановых и внеплановых аудиторских проверок. Плановые проверки осуществляются в соответствии с годовым планом внутреннего финансового аудита, утверждаемым руководителем главного администратора бюджетных средств, администратора бюджетных средств (далее - план).</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3.5. Субъект внутреннего финансового аудита вправе осуществлять подготовку заключений по вопросам обоснованности и полноты документов главного администратора бюджетных средств, администратора бюджетных средств, направляемых в администрацию Советского сельского поселения Новокубанского района в целях составления проекта местного бюджета, в порядке, установленном главным администратором бюджетных средств.</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3.6. Аудиторские проверки подразделяются:</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на камеральные проверки, которые проводятся по месту нахождения субъекта внутреннего финансового аудита на основании представленных по его запросу информации и материалов;</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на выездные проверки, которые проводятся по месту нахождения объектов аудита;</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на комбинированные проверки, которые проводятся как по месту нахождения субъекта внутреннего финансового аудита, так и по месту нахождения объектов аудита.</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3.7. Должностные лица субъекта внутреннего финансового аудита при проведении аудиторских проверок имеют право:</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запрашивать и получать на основании мотивированного запроса документы, материалы и информацию, необходимые для проведения аудиторских проверок, в том числе информацию об организации и о результатах проведения внутреннего финансового контроля;</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посещать помещения и территории, которые занимают объекты аудита, в отношении которых осуществляется аудиторская проверка;</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привлекать независимых экспертов, в том числе в целях подготовки актов и заключений.</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Срок направления и исполнения указанного запроса устанавливается главным администратором бюджетных средств.</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3.8. Субъект внутреннего финансового аудита обязан:</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соблюдать требования нормативных правовых актов в установленной сфере деятельности;</w:t>
      </w:r>
    </w:p>
    <w:p w:rsidR="001174DA" w:rsidRPr="001174DA" w:rsidRDefault="001174DA" w:rsidP="001174DA">
      <w:pPr>
        <w:pStyle w:val="ConsPlusNormal"/>
        <w:ind w:right="-284" w:firstLine="851"/>
        <w:jc w:val="both"/>
        <w:rPr>
          <w:rFonts w:ascii="Times New Roman" w:hAnsi="Times New Roman" w:cs="Times New Roman"/>
          <w:sz w:val="28"/>
          <w:szCs w:val="28"/>
        </w:rPr>
      </w:pPr>
      <w:r w:rsidRPr="001174DA">
        <w:rPr>
          <w:rFonts w:ascii="Times New Roman" w:hAnsi="Times New Roman" w:cs="Times New Roman"/>
          <w:sz w:val="28"/>
          <w:szCs w:val="28"/>
        </w:rPr>
        <w:t>проводить аудиторские проверки в соответствии с программой аудиторской проверки;</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lastRenderedPageBreak/>
        <w:t>знакомить руководителя или уполномоченное должностное лицо объекта аудита с программой аудиторской проверки, а также с результатами аудиторских проверок (актами и заключениями);</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не допускать к проведению аудиторских проверок должностных лиц субъекта внутреннего финансового аудита, которые в период, подлежащий аудиторской проверке, организовывали и выполняли внутренние бюджетные процедуры.</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3.9. Ответственность за организацию внутреннего финансового аудита несет руководитель главного администратора бюджетных средств, администратора бюджетных средств.</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Руководитель главного администратора бюджетных средств, администратора бюджетных средств при организации внутреннего финансового аудита обязан исключать участие субъекта внутреннего финансового аудита в организации и выполнении внутренних бюджетных процедур.</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3.10. Главный администратор бюджетных средств обязан представлять в орган внутреннего финансового контроля запрашиваемые им информацию и документы в целях проведения анализа осуществления внутреннего финансового аудита.</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3.11. Составление, утверждение и ведение плана осуществляется в порядке, установленном главным администратором бюджетных средств, администратором бюджетных средств.</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3.12. План представляет собой перечень аудиторских проверок, которые планируется провести в очередном финансовом году.</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По каждой аудиторской проверке в плане указывается тема аудиторской проверки, объект аудита, вид проверки (камеральная, выездная, комбинированная), проверяемый период, срок проведения аудиторской проверки и ответственные исполнители.</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3.13. При планировании аудиторских проверок (составлении плана и программы аудиторской проверки) учитываются:</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значимость операций (действий по формированию документа, необходимого для выполнения внутренней бюджетной процедуры), групп однотипных операций объектов аудита, которые могут оказать значительное влияние на годовую и (или) квартальную бюджетную отчетность главного администратора бюджетных средств, администратора бюджетных средств в случае неправомерного исполнения этих операций;</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факторы, влияющие на объем выборки проверяемых операций (действий по формированию документа, необходимого для выполнения внутренней бюджетной процедуры) для тестирования эффективности (надежности) внутреннего финансового контроля, к которым в том числе относятся частота выполнения визуальных контрольных действий, существенность процедур внутреннего финансового контроля и уровень автоматизации процедур внутреннего финансового контроля;</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наличие значимых бюджетных рисков после проведения процедур внутреннего финансового контроля;</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lastRenderedPageBreak/>
        <w:t>степень обеспеченности структурного подразделения внутреннего финансового аудита ресурсами (трудовыми, материальными и финансовыми);</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возможность проведения аудиторских проверок в установленные сроки;</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наличие резерва времени для выполнения внеплановых аудиторских проверок.</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3.14. В ходе планирования субъект внутреннего финансового аудита обязан провести предварительный анализ данных об объектах аудита, в том числе сведений о результатах:</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осуществления внутреннего финансового контроля за период, подлежащий аудиторской проверке;</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проведения в текущем и (или) отчетном финансовом году контрольных мероприятий Контрольно-счетной палатой муниципального образования Новокубанский район и органом внутреннего финансового контроля администрации Советского сельского поселения Новокубанского района в отношении финансово-хозяйственной деятельности объектов аудита.</w:t>
      </w:r>
    </w:p>
    <w:p w:rsidR="001174DA" w:rsidRPr="001174DA" w:rsidRDefault="001174DA" w:rsidP="001174DA">
      <w:pPr>
        <w:pStyle w:val="ConsPlusNormal"/>
        <w:ind w:right="-284" w:firstLine="851"/>
        <w:jc w:val="both"/>
        <w:rPr>
          <w:rFonts w:ascii="Times New Roman" w:hAnsi="Times New Roman" w:cs="Times New Roman"/>
          <w:sz w:val="28"/>
          <w:szCs w:val="28"/>
        </w:rPr>
      </w:pPr>
      <w:r w:rsidRPr="001174DA">
        <w:rPr>
          <w:rFonts w:ascii="Times New Roman" w:hAnsi="Times New Roman" w:cs="Times New Roman"/>
          <w:sz w:val="28"/>
          <w:szCs w:val="28"/>
        </w:rPr>
        <w:t>3.15. План составляется и утверждается до начала очередного финансового года.</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3.16. Аудиторская проверка назначается приказом руководителя главного администратора бюджетных средств, администратора бюджетных средств.</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3.17. Аудиторская проверка проводится на основании программы аудиторской проверки, утвержденной руководителем субъекта внутреннего финансового аудита.</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3.18. При составлении программы аудиторской проверки формируется аудиторская группа, состоящая из работников, проводящих аудиторскую проверку, и распределяются обязанности между членами аудиторской группы. Программа аудиторской проверки должна содержать:</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тему аудиторской проверки;</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наименование объектов аудита;</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перечень вопросов, подлежащих изучению в ходе аудиторской проверки, а также сроки ее проведения.</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3.19. В ходе аудиторской проверки проводится исследование:</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осуществления внутреннего финансового контроля;</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законности выполнения внутренних бюджетных процедур и эффективности использования средств местного бюджета;</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ведения учетной политики, принятой объектом аудита, в том числе на предмет ее соответствия изменениям в области бюджетного учета;</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применения автоматизированных информационных систем объектом аудита при осуществлении внутренних бюджетных процедур;</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вопросов бюджетного учета, в том числе вопросов, по которым принимается решение исходя из профессионального мнения лица, ответственного за ведение бюджетного учета;</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наделения правами доступа пользователей к базам данных, вводу и выводу информации из автоматизированных информационных систем, обеспечивающих осуществление бюджетных полномочий;</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lastRenderedPageBreak/>
        <w:t>формирования финансовых и первичных учетных документов, а также наделения правами доступа к записям в регистрах бюджетного учета;</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бюджетной отчетности.</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3.20. Аудиторская проверка проводится путем выполнения:</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инспектирования, представляющего собой изучение записей и документов, связанных с осуществлением операций внутренней бюджетной процедуры и (или) материальных активов;</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наблюдения, представляющего собой систематическое изучение действий должностных лиц и работников объекта аудита, выполняемых ими в ходе исполнения операций внутренней бюджетной процедуры;</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запроса, представляющего собой обращение к осведомленным лицам в пределах или за пределами объекта аудита в целях получения сведений, необходимых для проведения аудиторской проверки;</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подтверждения, представляющего собой ответ на запрос информации, содержащейся в регистрах бюджетного учета;</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пересчета, представляющего собой проверку точности арифметических расчетов, произведенных объектом аудита, либо самостоятельного расчета работником подразделения внутреннего финансового аудита;</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аналитических процедур, представляющих собой анализ соотношений и закономерностей, основанных на сведениях об осуществлении внутренних бюджетных процедур, а также изучение связи указанных соотношений и закономерностей с полученной информацией с целью выявления отклонений от нее и (или) неправильно отраженных в бюджетном учете операций и их причин и недостатков осуществления иных внутренних бюджетных процедур.</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3.21. При проведении аудиторской проверки должны быть получены достаточные надлежащие надежные доказательства. К доказательствам относятся достаточные фактические данные и достоверная информация, основанные на рабочей документации и подтверждающие наличие выявленных нарушений и недостатков в осуществлении внутренних бюджетных процедур объектами аудита, а также являющиеся основанием для выводов и предложений по результатам аудиторской проверки.</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3.22. Проведение аудиторской проверки подлежит документированию. Рабочая документация, то есть документы и иные материалы, подготавливаемые или получаемые в связи с проведением аудиторской проверки, содержит:</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документы, отражающие подготовку аудиторской проверки, включая ее программу;</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сведения о характере, сроках, об объеме аудиторской проверки и о результатах ее выполнения;</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сведения о выполнении внутреннего финансового контроля в отношении операций, связанных с темой аудиторской проверки;</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перечень договоров, соглашений, протоколов, первичной учетной документации, документов бюджетного учета и бюджетной отчетности, подлежавших изучению в ходе аудиторской проверки;</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письменные заявления и объяснения, полученные от должностных лиц и </w:t>
      </w:r>
      <w:r>
        <w:rPr>
          <w:rFonts w:ascii="Times New Roman" w:hAnsi="Times New Roman" w:cs="Times New Roman"/>
          <w:sz w:val="28"/>
          <w:szCs w:val="28"/>
        </w:rPr>
        <w:lastRenderedPageBreak/>
        <w:t>иных работников объектов аудита;</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копии обращений, направленных органам муниципального финансового контроля, экспертам и (или) третьим лицам в ходе аудиторской проверки, и полученные от них сведения;</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копии финансово-хозяйственных документов объекта аудита, подтверждающих выявленные нарушения;</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акт аудиторской проверки.</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3.23. Предельные сроки проведения аудиторских проверок, основания для их приостановления и продления устанавливаются главным администратором бюджетных средств, администратором бюджетных средств.</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3.24. Результаты аудиторской проверки оформляются актом аудиторской проверки, который подписывается руководителем аудиторской группы и вручается им представителю объекта аудита, уполномоченному на получение акта аудиторской проверки. Объект аудита вправе представить письменные возражения по акту аудиторской проверки.</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3.25. Формирование, направление (вручение) и сроки рассмотрения акта аудиторской проверки объектом аудита осуществляются в порядке, устанавливаемом главным администратором бюджетных средств, администратором бюджетных средств.</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3.26. На основании акта аудиторской проверки составляется отчет о результатах аудиторской проверки, содержащий информацию об итогах аудиторской проверки, в том числе:</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информацию о выявленных в ходе аудиторской проверки недостатках и нарушениях (в количественном и денежном выражении), об условиях и о причинах таких нарушений, а также о значимых бюджетных рисках;</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информацию о наличии или об отсутствии возражений со стороны объектов аудита;</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выводы о степени надежности внутреннего финансового контроля и достоверности представленной объектами аудита бюджетной отчетности;</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выводы о соответствии ведения бюджетного учета объектами аудита методологии и стандартам бюджетного учета, установленным Министерством финансов Российской Федерации;</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выводы, предложения и рекомендации по устранению выявленных нарушений и недостатков, принятию мер по минимизации бюджетных рисков, внесению изменений в карты внутреннего финансового контроля, а также предложения по повышению экономности и результативности использования средств местного бюджета.</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3.27. Отчет о результатах аудиторской проверки с приложением акта аудиторской проверки направляется руководителю главного администратора бюджетных средств, администратора бюджетных средств. По результатам рассмотрения указанного отчета руководитель главного администратора бюджетных средств, администратора бюджетных средств вправе принять одно или несколько из решений:</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о необходимости реализации аудиторских выводов, предложений и рекомендаций;</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lastRenderedPageBreak/>
        <w:t>о недостаточной обоснованности аудиторских выводов, предложений и рекомендаций;</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о применении материальной и (или) дисциплинарной ответственности к виновным должностным лицам, а также о проведении в установленном порядке служебных проверок;</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о направлении материалов в Орган внутреннего финансового контроля администрации муниципального образования Новокубанский  район и (или) правоохранительные органы в случае наличия признаков нарушений бюджетного законодательства Российской Федерации, в отношении которых отсутствует возможность их устранения.</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3.28. Субъекты внутреннего финансового аудита обеспечивают составление годовой (квартальной) отчетности о результатах осуществления внутреннего финансового аудита.</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3.29. Годовая отчетность о результатах осуществления внутреннего финансового аудита содержит информацию, подтверждающую выводы о надежности (эффективности) внутреннего финансового контроля, достоверности сводной бюджетной отчетности главного администратора бюджетных средств, администратора бюджетных средств.</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Проведение внутреннего финансового контроля считается надежным (эффективным), если используемые методы контроля и контрольные действия приводят к отсутствию либо существенному снижению числа нарушений нормативных правовых актов, регулирующих бюджетные правоотношения, внутренних стандартов, а также к повышению эффективности использования средств местного бюджета.</w:t>
      </w:r>
    </w:p>
    <w:p w:rsidR="001174DA" w:rsidRDefault="001174DA" w:rsidP="001174DA">
      <w:pPr>
        <w:pStyle w:val="ConsPlusNormal"/>
        <w:ind w:right="-284" w:firstLine="851"/>
        <w:jc w:val="both"/>
        <w:rPr>
          <w:rFonts w:ascii="Times New Roman" w:hAnsi="Times New Roman" w:cs="Times New Roman"/>
          <w:sz w:val="28"/>
          <w:szCs w:val="28"/>
        </w:rPr>
      </w:pPr>
      <w:r>
        <w:rPr>
          <w:rFonts w:ascii="Times New Roman" w:hAnsi="Times New Roman" w:cs="Times New Roman"/>
          <w:sz w:val="28"/>
          <w:szCs w:val="28"/>
        </w:rPr>
        <w:t>3.30. Порядок составления и представления отчета о результатах аудиторской проверки и годовой отчетности о результатах осуществления внутреннего финансового аудита устанавливается главным администратором бюджетных средств.</w:t>
      </w:r>
    </w:p>
    <w:p w:rsidR="001174DA" w:rsidRDefault="001174DA" w:rsidP="001174DA">
      <w:pPr>
        <w:pStyle w:val="ConsPlusNormal"/>
        <w:ind w:right="-284" w:firstLine="851"/>
        <w:jc w:val="both"/>
        <w:rPr>
          <w:rFonts w:ascii="Times New Roman" w:hAnsi="Times New Roman" w:cs="Times New Roman"/>
          <w:sz w:val="28"/>
          <w:szCs w:val="28"/>
        </w:rPr>
      </w:pPr>
    </w:p>
    <w:p w:rsidR="001174DA" w:rsidRDefault="001174DA" w:rsidP="001174DA">
      <w:pPr>
        <w:pStyle w:val="ConsPlusNormal"/>
        <w:ind w:right="-284" w:firstLine="851"/>
        <w:jc w:val="both"/>
        <w:rPr>
          <w:rFonts w:ascii="Times New Roman" w:hAnsi="Times New Roman" w:cs="Times New Roman"/>
          <w:sz w:val="28"/>
          <w:szCs w:val="28"/>
        </w:rPr>
      </w:pPr>
    </w:p>
    <w:p w:rsidR="001174DA" w:rsidRDefault="001174DA" w:rsidP="001174DA">
      <w:pPr>
        <w:pStyle w:val="ConsPlusNormal"/>
        <w:ind w:right="-284" w:firstLine="851"/>
        <w:jc w:val="both"/>
        <w:rPr>
          <w:rFonts w:ascii="Times New Roman" w:hAnsi="Times New Roman" w:cs="Times New Roman"/>
          <w:sz w:val="28"/>
          <w:szCs w:val="28"/>
        </w:rPr>
      </w:pPr>
    </w:p>
    <w:p w:rsidR="001174DA" w:rsidRDefault="001174DA" w:rsidP="001174DA">
      <w:pPr>
        <w:pStyle w:val="ConsPlusNormal"/>
        <w:ind w:right="-284"/>
        <w:jc w:val="both"/>
        <w:rPr>
          <w:rFonts w:ascii="Times New Roman" w:hAnsi="Times New Roman" w:cs="Times New Roman"/>
          <w:sz w:val="28"/>
          <w:szCs w:val="28"/>
        </w:rPr>
      </w:pPr>
      <w:r>
        <w:rPr>
          <w:rFonts w:ascii="Times New Roman" w:hAnsi="Times New Roman" w:cs="Times New Roman"/>
          <w:sz w:val="28"/>
          <w:szCs w:val="28"/>
        </w:rPr>
        <w:t>Начальник финансового-экономического</w:t>
      </w:r>
    </w:p>
    <w:p w:rsidR="001174DA" w:rsidRDefault="001174DA" w:rsidP="001174DA">
      <w:pPr>
        <w:pStyle w:val="ConsPlusNormal"/>
        <w:ind w:right="-284"/>
        <w:jc w:val="both"/>
        <w:rPr>
          <w:rFonts w:ascii="Times New Roman" w:hAnsi="Times New Roman" w:cs="Times New Roman"/>
          <w:sz w:val="28"/>
          <w:szCs w:val="28"/>
        </w:rPr>
      </w:pPr>
      <w:r>
        <w:rPr>
          <w:rFonts w:ascii="Times New Roman" w:hAnsi="Times New Roman" w:cs="Times New Roman"/>
          <w:sz w:val="28"/>
          <w:szCs w:val="28"/>
        </w:rPr>
        <w:t>отдела Советского сельского</w:t>
      </w:r>
    </w:p>
    <w:p w:rsidR="001174DA" w:rsidRDefault="001174DA" w:rsidP="001174DA">
      <w:pPr>
        <w:pStyle w:val="ConsPlusNormal"/>
        <w:ind w:right="-284"/>
        <w:jc w:val="both"/>
        <w:rPr>
          <w:rFonts w:ascii="Times New Roman" w:hAnsi="Times New Roman" w:cs="Times New Roman"/>
          <w:sz w:val="28"/>
          <w:szCs w:val="28"/>
        </w:rPr>
      </w:pPr>
      <w:r>
        <w:rPr>
          <w:rFonts w:ascii="Times New Roman" w:hAnsi="Times New Roman" w:cs="Times New Roman"/>
          <w:sz w:val="28"/>
          <w:szCs w:val="28"/>
        </w:rPr>
        <w:t xml:space="preserve">поселения Новокубанского района                                              </w:t>
      </w:r>
      <w:r>
        <w:rPr>
          <w:rFonts w:ascii="Times New Roman" w:hAnsi="Times New Roman" w:cs="Times New Roman"/>
          <w:sz w:val="28"/>
          <w:szCs w:val="28"/>
        </w:rPr>
        <w:tab/>
        <w:t xml:space="preserve">  Т.Н.Шевцова</w:t>
      </w:r>
    </w:p>
    <w:p w:rsidR="00AB2E16" w:rsidRDefault="00AB2E16"/>
    <w:sectPr w:rsidR="00AB2E16" w:rsidSect="001174DA">
      <w:headerReference w:type="default" r:id="rId7"/>
      <w:headerReference w:type="first" r:id="rId8"/>
      <w:type w:val="continuous"/>
      <w:pgSz w:w="11909" w:h="16838"/>
      <w:pgMar w:top="1134" w:right="851" w:bottom="1134" w:left="1701" w:header="0" w:footer="6" w:gutter="0"/>
      <w:cols w:space="708"/>
      <w:noEndnote/>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4719" w:rsidRPr="001174DA" w:rsidRDefault="002A4719" w:rsidP="001174DA">
      <w:pPr>
        <w:pStyle w:val="ConsPlusNormal"/>
        <w:rPr>
          <w:rFonts w:ascii="Times New Roman" w:eastAsiaTheme="minorHAnsi" w:hAnsi="Times New Roman" w:cstheme="minorBidi"/>
          <w:sz w:val="28"/>
          <w:szCs w:val="22"/>
          <w:lang w:eastAsia="en-US"/>
        </w:rPr>
      </w:pPr>
      <w:r>
        <w:separator/>
      </w:r>
    </w:p>
  </w:endnote>
  <w:endnote w:type="continuationSeparator" w:id="1">
    <w:p w:rsidR="002A4719" w:rsidRPr="001174DA" w:rsidRDefault="002A4719" w:rsidP="001174DA">
      <w:pPr>
        <w:pStyle w:val="ConsPlusNormal"/>
        <w:rPr>
          <w:rFonts w:ascii="Times New Roman" w:eastAsiaTheme="minorHAnsi" w:hAnsi="Times New Roman" w:cstheme="minorBidi"/>
          <w:sz w:val="28"/>
          <w:szCs w:val="22"/>
          <w:lang w:eastAsia="en-U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4719" w:rsidRPr="001174DA" w:rsidRDefault="002A4719" w:rsidP="001174DA">
      <w:pPr>
        <w:pStyle w:val="ConsPlusNormal"/>
        <w:rPr>
          <w:rFonts w:ascii="Times New Roman" w:eastAsiaTheme="minorHAnsi" w:hAnsi="Times New Roman" w:cstheme="minorBidi"/>
          <w:sz w:val="28"/>
          <w:szCs w:val="22"/>
          <w:lang w:eastAsia="en-US"/>
        </w:rPr>
      </w:pPr>
      <w:r>
        <w:separator/>
      </w:r>
    </w:p>
  </w:footnote>
  <w:footnote w:type="continuationSeparator" w:id="1">
    <w:p w:rsidR="002A4719" w:rsidRPr="001174DA" w:rsidRDefault="002A4719" w:rsidP="001174DA">
      <w:pPr>
        <w:pStyle w:val="ConsPlusNormal"/>
        <w:rPr>
          <w:rFonts w:ascii="Times New Roman" w:eastAsiaTheme="minorHAnsi" w:hAnsi="Times New Roman" w:cstheme="minorBidi"/>
          <w:sz w:val="28"/>
          <w:szCs w:val="22"/>
          <w:lang w:eastAsia="en-US"/>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0062"/>
      <w:docPartObj>
        <w:docPartGallery w:val="Page Numbers (Top of Page)"/>
        <w:docPartUnique/>
      </w:docPartObj>
    </w:sdtPr>
    <w:sdtContent>
      <w:p w:rsidR="001174DA" w:rsidRDefault="001174DA">
        <w:pPr>
          <w:pStyle w:val="a4"/>
          <w:jc w:val="center"/>
        </w:pPr>
      </w:p>
      <w:p w:rsidR="001174DA" w:rsidRDefault="001174DA">
        <w:pPr>
          <w:pStyle w:val="a4"/>
          <w:jc w:val="center"/>
        </w:pPr>
        <w:fldSimple w:instr=" PAGE   \* MERGEFORMAT ">
          <w:r>
            <w:rPr>
              <w:noProof/>
            </w:rPr>
            <w:t>2</w:t>
          </w:r>
        </w:fldSimple>
      </w:p>
    </w:sdtContent>
  </w:sdt>
  <w:p w:rsidR="001174DA" w:rsidRDefault="001174DA">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4DA" w:rsidRDefault="001174DA">
    <w:pPr>
      <w:pStyle w:val="a4"/>
    </w:pPr>
  </w:p>
  <w:p w:rsidR="001174DA" w:rsidRDefault="001174DA">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40"/>
  <w:displayHorizontalDrawingGridEvery w:val="2"/>
  <w:displayVerticalDrawingGridEvery w:val="2"/>
  <w:characterSpacingControl w:val="doNotCompress"/>
  <w:footnotePr>
    <w:footnote w:id="0"/>
    <w:footnote w:id="1"/>
  </w:footnotePr>
  <w:endnotePr>
    <w:endnote w:id="0"/>
    <w:endnote w:id="1"/>
  </w:endnotePr>
  <w:compat/>
  <w:rsids>
    <w:rsidRoot w:val="001174DA"/>
    <w:rsid w:val="000501EA"/>
    <w:rsid w:val="00063247"/>
    <w:rsid w:val="0007674D"/>
    <w:rsid w:val="000779FD"/>
    <w:rsid w:val="000A3057"/>
    <w:rsid w:val="001174DA"/>
    <w:rsid w:val="00173829"/>
    <w:rsid w:val="001B3B8B"/>
    <w:rsid w:val="001E0C71"/>
    <w:rsid w:val="00217980"/>
    <w:rsid w:val="002A4719"/>
    <w:rsid w:val="003015DA"/>
    <w:rsid w:val="003210A0"/>
    <w:rsid w:val="00340293"/>
    <w:rsid w:val="003553FA"/>
    <w:rsid w:val="003819FD"/>
    <w:rsid w:val="00396270"/>
    <w:rsid w:val="003D37D0"/>
    <w:rsid w:val="003D6591"/>
    <w:rsid w:val="003E6814"/>
    <w:rsid w:val="00406E57"/>
    <w:rsid w:val="00443002"/>
    <w:rsid w:val="004A47C4"/>
    <w:rsid w:val="004B1340"/>
    <w:rsid w:val="004C601C"/>
    <w:rsid w:val="004E3670"/>
    <w:rsid w:val="004F7EE5"/>
    <w:rsid w:val="005219F9"/>
    <w:rsid w:val="005B1EC2"/>
    <w:rsid w:val="00631DC5"/>
    <w:rsid w:val="00657250"/>
    <w:rsid w:val="0069267F"/>
    <w:rsid w:val="007049A1"/>
    <w:rsid w:val="0073696E"/>
    <w:rsid w:val="00757D51"/>
    <w:rsid w:val="007801B0"/>
    <w:rsid w:val="007E1BB2"/>
    <w:rsid w:val="00807093"/>
    <w:rsid w:val="00825A8A"/>
    <w:rsid w:val="00870132"/>
    <w:rsid w:val="00893A87"/>
    <w:rsid w:val="008C50E9"/>
    <w:rsid w:val="009066AA"/>
    <w:rsid w:val="00927C95"/>
    <w:rsid w:val="00A04E5B"/>
    <w:rsid w:val="00A12480"/>
    <w:rsid w:val="00A47B93"/>
    <w:rsid w:val="00A5792E"/>
    <w:rsid w:val="00AB2E16"/>
    <w:rsid w:val="00AC6EA1"/>
    <w:rsid w:val="00AE291F"/>
    <w:rsid w:val="00B35ED0"/>
    <w:rsid w:val="00B41ECE"/>
    <w:rsid w:val="00B81043"/>
    <w:rsid w:val="00B8292F"/>
    <w:rsid w:val="00B9632C"/>
    <w:rsid w:val="00BA3DED"/>
    <w:rsid w:val="00BD1EB9"/>
    <w:rsid w:val="00C1351B"/>
    <w:rsid w:val="00C65671"/>
    <w:rsid w:val="00CE4956"/>
    <w:rsid w:val="00D63ECE"/>
    <w:rsid w:val="00DB0A45"/>
    <w:rsid w:val="00DC7510"/>
    <w:rsid w:val="00E17F5B"/>
    <w:rsid w:val="00E57616"/>
    <w:rsid w:val="00E6020B"/>
    <w:rsid w:val="00E70D1A"/>
    <w:rsid w:val="00EC32C5"/>
    <w:rsid w:val="00FB2AFF"/>
    <w:rsid w:val="00FD476A"/>
    <w:rsid w:val="00FE28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53F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174DA"/>
    <w:pPr>
      <w:widowControl w:val="0"/>
      <w:autoSpaceDE w:val="0"/>
      <w:autoSpaceDN w:val="0"/>
      <w:spacing w:after="0" w:line="240" w:lineRule="auto"/>
    </w:pPr>
    <w:rPr>
      <w:rFonts w:ascii="Calibri" w:eastAsia="Times New Roman" w:hAnsi="Calibri" w:cs="Calibri"/>
      <w:sz w:val="22"/>
      <w:szCs w:val="20"/>
      <w:lang w:eastAsia="ru-RU"/>
    </w:rPr>
  </w:style>
  <w:style w:type="paragraph" w:customStyle="1" w:styleId="ConsPlusTitle">
    <w:name w:val="ConsPlusTitle"/>
    <w:rsid w:val="001174DA"/>
    <w:pPr>
      <w:widowControl w:val="0"/>
      <w:autoSpaceDE w:val="0"/>
      <w:autoSpaceDN w:val="0"/>
      <w:spacing w:after="0" w:line="240" w:lineRule="auto"/>
    </w:pPr>
    <w:rPr>
      <w:rFonts w:ascii="Calibri" w:eastAsia="Times New Roman" w:hAnsi="Calibri" w:cs="Calibri"/>
      <w:b/>
      <w:sz w:val="22"/>
      <w:szCs w:val="20"/>
      <w:lang w:eastAsia="ru-RU"/>
    </w:rPr>
  </w:style>
  <w:style w:type="character" w:styleId="a3">
    <w:name w:val="Hyperlink"/>
    <w:basedOn w:val="a0"/>
    <w:uiPriority w:val="99"/>
    <w:semiHidden/>
    <w:unhideWhenUsed/>
    <w:rsid w:val="001174DA"/>
    <w:rPr>
      <w:color w:val="0000FF"/>
      <w:u w:val="single"/>
    </w:rPr>
  </w:style>
  <w:style w:type="paragraph" w:styleId="a4">
    <w:name w:val="header"/>
    <w:basedOn w:val="a"/>
    <w:link w:val="a5"/>
    <w:uiPriority w:val="99"/>
    <w:unhideWhenUsed/>
    <w:rsid w:val="001174D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174DA"/>
  </w:style>
  <w:style w:type="paragraph" w:styleId="a6">
    <w:name w:val="footer"/>
    <w:basedOn w:val="a"/>
    <w:link w:val="a7"/>
    <w:uiPriority w:val="99"/>
    <w:semiHidden/>
    <w:unhideWhenUsed/>
    <w:rsid w:val="001174DA"/>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1174D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C:\Users\73B5~1\AppData\Local\Temp\Rar$DIa5692.10338\&#1055;&#1086;&#1088;&#1103;&#1076;&#1086;&#1082;%20&#1086;&#1089;&#1091;&#1097;&#1077;&#1089;&#1090;&#1074;&#1083;&#1077;&#1085;&#1080;&#1103;%20&#1075;&#1083;&#1072;&#1074;&#1085;&#1099;&#1084;&#1080;%20&#1088;&#1072;&#1089;&#1087;&#1086;&#1088;.%20&#1086;&#1090;%2012.04.2018%20&#8470;%20416.docx"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14</Pages>
  <Words>5319</Words>
  <Characters>30324</Characters>
  <Application>Microsoft Office Word</Application>
  <DocSecurity>0</DocSecurity>
  <Lines>252</Lines>
  <Paragraphs>71</Paragraphs>
  <ScaleCrop>false</ScaleCrop>
  <Company>Reanimator Extreme Edition</Company>
  <LinksUpToDate>false</LinksUpToDate>
  <CharactersWithSpaces>35572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cp:revision>
  <dcterms:created xsi:type="dcterms:W3CDTF">2019-09-11T07:18:00Z</dcterms:created>
  <dcterms:modified xsi:type="dcterms:W3CDTF">2019-09-11T07:26:00Z</dcterms:modified>
</cp:coreProperties>
</file>